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132641345" name="Picture">
</wp:docPr>
                  <a:graphic>
                    <a:graphicData uri="http://schemas.openxmlformats.org/drawingml/2006/picture">
                      <pic:pic>
                        <pic:nvPicPr>
                          <pic:cNvPr id="1132641345"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610.24.00279 Техническое обслуживание и сопровождение корпоративного сайта для нужд ООО «Интер РАО – 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9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22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56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4.3.4.  Присвоение баллов заявкам по критерию 3.4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(с учетом значимости) по подкритериям критерия 3.4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сумма баллов по соответствующим подкритериям критерия 3.4;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значимость каждого подкритерия критерия 3.4.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610.24.00279</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610.24.00279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610.24.00279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610.24.00279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610.24.00279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886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4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4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8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 ИЛИ в случае отсутствия данного требования в ТЗ</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6" w:name="JR_PAGE_ANCHOR_0_12"/>
            <w:bookmarkEnd w:id="36"/>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